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53C" w:rsidRPr="001362C3" w:rsidRDefault="004B7330" w:rsidP="00FF053C">
      <w:pPr>
        <w:keepNext/>
        <w:outlineLvl w:val="0"/>
        <w:rPr>
          <w:rFonts w:asciiTheme="minorHAnsi" w:hAnsiTheme="minorHAnsi" w:cstheme="minorHAnsi"/>
          <w:snapToGrid w:val="0"/>
          <w:color w:val="0B2265"/>
          <w:sz w:val="44"/>
          <w:lang w:eastAsia="en-US"/>
        </w:rPr>
      </w:pPr>
      <w:bookmarkStart w:id="0" w:name="_GoBack"/>
      <w:bookmarkEnd w:id="0"/>
      <w:r>
        <w:rPr>
          <w:rFonts w:asciiTheme="minorHAnsi" w:hAnsiTheme="minorHAnsi" w:cstheme="minorHAnsi"/>
          <w:snapToGrid w:val="0"/>
          <w:color w:val="0B2265"/>
          <w:sz w:val="44"/>
          <w:lang w:eastAsia="en-US"/>
        </w:rPr>
        <w:t>Hintergrund</w:t>
      </w:r>
      <w:r w:rsidR="00FF053C" w:rsidRPr="001362C3">
        <w:rPr>
          <w:rFonts w:asciiTheme="minorHAnsi" w:hAnsiTheme="minorHAnsi" w:cstheme="minorHAnsi"/>
          <w:snapToGrid w:val="0"/>
          <w:color w:val="0B2265"/>
          <w:sz w:val="44"/>
          <w:lang w:eastAsia="en-US"/>
        </w:rPr>
        <w:t>information</w:t>
      </w:r>
    </w:p>
    <w:p w:rsidR="00FF053C" w:rsidRPr="001362C3" w:rsidRDefault="00FF053C" w:rsidP="00FF053C">
      <w:pPr>
        <w:rPr>
          <w:rFonts w:asciiTheme="minorHAnsi" w:hAnsiTheme="minorHAnsi" w:cstheme="minorHAnsi"/>
          <w:lang w:eastAsia="en-US"/>
        </w:rPr>
      </w:pPr>
    </w:p>
    <w:p w:rsidR="00DD3BC9" w:rsidRDefault="00DD3BC9" w:rsidP="00FF053C">
      <w:pPr>
        <w:rPr>
          <w:rFonts w:asciiTheme="minorHAnsi" w:hAnsiTheme="minorHAnsi" w:cstheme="minorHAnsi"/>
          <w:sz w:val="22"/>
          <w:szCs w:val="22"/>
          <w:lang w:eastAsia="en-US"/>
        </w:rPr>
      </w:pPr>
    </w:p>
    <w:p w:rsidR="004B7330" w:rsidRPr="001362C3" w:rsidRDefault="004B7330" w:rsidP="00FF053C">
      <w:pPr>
        <w:rPr>
          <w:rFonts w:asciiTheme="minorHAnsi" w:hAnsiTheme="minorHAnsi" w:cstheme="minorHAnsi"/>
          <w:sz w:val="22"/>
          <w:szCs w:val="22"/>
          <w:lang w:eastAsia="en-US"/>
        </w:rPr>
      </w:pPr>
    </w:p>
    <w:p w:rsidR="006F0342" w:rsidRPr="006F0342" w:rsidRDefault="006F0342" w:rsidP="006F0342">
      <w:pPr>
        <w:rPr>
          <w:rFonts w:asciiTheme="minorHAnsi" w:hAnsiTheme="minorHAnsi"/>
          <w:b/>
        </w:rPr>
      </w:pPr>
      <w:r w:rsidRPr="006F0342">
        <w:rPr>
          <w:rFonts w:asciiTheme="minorHAnsi" w:hAnsiTheme="minorHAnsi"/>
          <w:b/>
        </w:rPr>
        <w:t>ATMoSPHÄRE</w:t>
      </w:r>
      <w:r w:rsidRPr="006F0342">
        <w:rPr>
          <w:rStyle w:val="Funotenzeichen"/>
          <w:rFonts w:asciiTheme="minorHAnsi" w:hAnsiTheme="minorHAnsi"/>
          <w:b/>
        </w:rPr>
        <w:footnoteReference w:id="1"/>
      </w:r>
      <w:r w:rsidRPr="006F0342">
        <w:rPr>
          <w:rFonts w:asciiTheme="minorHAnsi" w:hAnsiTheme="minorHAnsi"/>
          <w:b/>
        </w:rPr>
        <w:t xml:space="preserve"> – Zukunftsweisendes Verbundvorhaben in Sachsen gestartet</w:t>
      </w:r>
    </w:p>
    <w:p w:rsidR="006F0342" w:rsidRPr="006F0342" w:rsidRDefault="006F0342" w:rsidP="006F0342">
      <w:pPr>
        <w:rPr>
          <w:rFonts w:asciiTheme="minorHAnsi" w:hAnsiTheme="minorHAnsi"/>
          <w:sz w:val="22"/>
          <w:szCs w:val="22"/>
        </w:rPr>
      </w:pPr>
    </w:p>
    <w:p w:rsidR="006F0342" w:rsidRPr="006F0342" w:rsidRDefault="006F0342" w:rsidP="006F0342">
      <w:pPr>
        <w:rPr>
          <w:rFonts w:asciiTheme="minorHAnsi" w:hAnsiTheme="minorHAnsi"/>
          <w:b/>
          <w:sz w:val="22"/>
          <w:szCs w:val="22"/>
        </w:rPr>
      </w:pPr>
      <w:r w:rsidRPr="006F0342">
        <w:rPr>
          <w:rFonts w:asciiTheme="minorHAnsi" w:hAnsiTheme="minorHAnsi"/>
          <w:b/>
          <w:sz w:val="22"/>
          <w:szCs w:val="22"/>
        </w:rPr>
        <w:t>Aufhebung tradierter Versorgungsmuster</w:t>
      </w:r>
    </w:p>
    <w:p w:rsidR="006F0342" w:rsidRPr="006F0342" w:rsidRDefault="006F0342" w:rsidP="006F0342">
      <w:pPr>
        <w:rPr>
          <w:rFonts w:asciiTheme="minorHAnsi" w:hAnsiTheme="minorHAnsi"/>
          <w:sz w:val="22"/>
          <w:szCs w:val="22"/>
        </w:rPr>
      </w:pPr>
      <w:r w:rsidRPr="006F0342">
        <w:rPr>
          <w:rFonts w:asciiTheme="minorHAnsi" w:hAnsiTheme="minorHAnsi"/>
          <w:sz w:val="22"/>
          <w:szCs w:val="22"/>
        </w:rPr>
        <w:t xml:space="preserve">Ebenso wie viele andere Industrienationen steht Deutschland durch eine zunehmend älter werdende Gesellschaft vor enormen Herausforderungen. In der Folge wird dies zu erweiterten Anforderungen und wachsenden  Ausgaben in den Gesundheits-, Pflege- und Sozialsystemen führen. </w:t>
      </w:r>
      <w:r w:rsidR="004B7330">
        <w:rPr>
          <w:rFonts w:asciiTheme="minorHAnsi" w:hAnsiTheme="minorHAnsi"/>
          <w:sz w:val="22"/>
          <w:szCs w:val="22"/>
        </w:rPr>
        <w:t>Mit einer steigenden Anzahl alter und hochbetagter</w:t>
      </w:r>
      <w:r w:rsidRPr="006F0342">
        <w:rPr>
          <w:rFonts w:asciiTheme="minorHAnsi" w:hAnsiTheme="minorHAnsi"/>
          <w:sz w:val="22"/>
          <w:szCs w:val="22"/>
        </w:rPr>
        <w:t xml:space="preserve"> Menschen ist auch eine Zunahme der</w:t>
      </w:r>
      <w:r w:rsidR="004B7330">
        <w:rPr>
          <w:rFonts w:asciiTheme="minorHAnsi" w:hAnsiTheme="minorHAnsi"/>
          <w:sz w:val="22"/>
          <w:szCs w:val="22"/>
        </w:rPr>
        <w:t xml:space="preserve"> Menschen mit körperlichen und</w:t>
      </w:r>
      <w:r w:rsidRPr="006F0342">
        <w:rPr>
          <w:rFonts w:asciiTheme="minorHAnsi" w:hAnsiTheme="minorHAnsi"/>
          <w:sz w:val="22"/>
          <w:szCs w:val="22"/>
        </w:rPr>
        <w:t xml:space="preserve"> kognitiven Einschränkungen absehbar. Dadurch wird es zu einer kontinuierlich ansteigenden Anzahl von Menschen mit chronischen und multimorbiden Erkrankungen kommen. Im Sinne einer ganzheitlichen Versorgung benötigen insbesondere diese Patienten mehr als nur eine medizinisch fokussierte Versorgung ihrer einzelnen Grunderkrankungen. Die aktuellen Versorgungsstrukturen werden den sich immer stärker ändernden Bedürfnissen der Menschen nur zum Teil gerecht. Was fehlt, sind flächendeckende, integrative sowie regional übertragbare Lösungskonzepte.</w:t>
      </w:r>
    </w:p>
    <w:p w:rsidR="006F0342" w:rsidRPr="006F0342" w:rsidRDefault="006F0342" w:rsidP="006F0342">
      <w:pPr>
        <w:rPr>
          <w:rFonts w:asciiTheme="minorHAnsi" w:hAnsiTheme="minorHAnsi"/>
          <w:sz w:val="22"/>
          <w:szCs w:val="22"/>
        </w:rPr>
      </w:pPr>
    </w:p>
    <w:p w:rsidR="006F0342" w:rsidRPr="006F0342" w:rsidRDefault="006F0342" w:rsidP="006F0342">
      <w:pPr>
        <w:rPr>
          <w:rFonts w:asciiTheme="minorHAnsi" w:hAnsiTheme="minorHAnsi"/>
          <w:b/>
          <w:sz w:val="22"/>
          <w:szCs w:val="22"/>
        </w:rPr>
      </w:pPr>
      <w:r w:rsidRPr="006F0342">
        <w:rPr>
          <w:rFonts w:asciiTheme="minorHAnsi" w:hAnsiTheme="minorHAnsi"/>
          <w:b/>
          <w:sz w:val="22"/>
          <w:szCs w:val="22"/>
        </w:rPr>
        <w:t>Bündelung unterschiedlicher Kompetenzen zur Versorgungsoptimierung</w:t>
      </w:r>
    </w:p>
    <w:p w:rsidR="00084D5C" w:rsidRPr="00084D5C" w:rsidRDefault="004B7330" w:rsidP="00084D5C">
      <w:pPr>
        <w:rPr>
          <w:rFonts w:asciiTheme="minorHAnsi" w:hAnsiTheme="minorHAnsi"/>
          <w:sz w:val="22"/>
          <w:szCs w:val="22"/>
        </w:rPr>
      </w:pPr>
      <w:r>
        <w:rPr>
          <w:rFonts w:asciiTheme="minorHAnsi" w:hAnsiTheme="minorHAnsi"/>
          <w:sz w:val="22"/>
          <w:szCs w:val="22"/>
        </w:rPr>
        <w:t>Im</w:t>
      </w:r>
      <w:r w:rsidR="006F0342" w:rsidRPr="006F0342">
        <w:rPr>
          <w:rFonts w:asciiTheme="minorHAnsi" w:hAnsiTheme="minorHAnsi"/>
          <w:sz w:val="22"/>
          <w:szCs w:val="22"/>
        </w:rPr>
        <w:t xml:space="preserve"> Verbundprojekt ATMoSPHÄRE </w:t>
      </w:r>
      <w:r>
        <w:rPr>
          <w:rFonts w:asciiTheme="minorHAnsi" w:hAnsiTheme="minorHAnsi"/>
          <w:sz w:val="22"/>
          <w:szCs w:val="22"/>
        </w:rPr>
        <w:t xml:space="preserve">haben sich sieben </w:t>
      </w:r>
      <w:r w:rsidR="006F0342" w:rsidRPr="006F0342">
        <w:rPr>
          <w:rFonts w:asciiTheme="minorHAnsi" w:hAnsiTheme="minorHAnsi"/>
          <w:sz w:val="22"/>
          <w:szCs w:val="22"/>
        </w:rPr>
        <w:t>Partner zusammengeschlossen. Dur</w:t>
      </w:r>
      <w:r>
        <w:rPr>
          <w:rFonts w:asciiTheme="minorHAnsi" w:hAnsiTheme="minorHAnsi"/>
          <w:sz w:val="22"/>
          <w:szCs w:val="22"/>
        </w:rPr>
        <w:t xml:space="preserve">ch die Bündelung ihrer unterschiedlichen </w:t>
      </w:r>
      <w:r w:rsidR="006F0342" w:rsidRPr="006F0342">
        <w:rPr>
          <w:rFonts w:asciiTheme="minorHAnsi" w:hAnsiTheme="minorHAnsi"/>
          <w:sz w:val="22"/>
          <w:szCs w:val="22"/>
        </w:rPr>
        <w:t>Kernkompetenz</w:t>
      </w:r>
      <w:r>
        <w:rPr>
          <w:rFonts w:asciiTheme="minorHAnsi" w:hAnsiTheme="minorHAnsi"/>
          <w:sz w:val="22"/>
          <w:szCs w:val="22"/>
        </w:rPr>
        <w:t>en</w:t>
      </w:r>
      <w:r w:rsidR="006F0342" w:rsidRPr="006F0342">
        <w:rPr>
          <w:rFonts w:asciiTheme="minorHAnsi" w:hAnsiTheme="minorHAnsi"/>
          <w:sz w:val="22"/>
          <w:szCs w:val="22"/>
        </w:rPr>
        <w:t xml:space="preserve"> ist eine holistische Sichtweise auf den Patienten und das ihn umgebende Umfeld gewährleistet. </w:t>
      </w:r>
      <w:r w:rsidR="00084D5C" w:rsidRPr="00084D5C">
        <w:rPr>
          <w:rFonts w:asciiTheme="minorHAnsi" w:hAnsiTheme="minorHAnsi"/>
          <w:sz w:val="22"/>
          <w:szCs w:val="22"/>
        </w:rPr>
        <w:t>„Wir sind außerordentlich froh, dass sich für dieses Pilotprojekt Partner mit ausgeprägten Kompetenzen im medizinischen, pflegerischen und sozialen Bereich zusammengefunden haben. Dadurch wird es erstmalig in Deutschland möglich sein, einen universellen Lösungsansatz zu entwickeln, der alle wesentlichen Lebensbereiche der Patienten abdeckt“, erklärt Dr. Barbara Koch, Projektkoordinatorin von ATMoSPHÄRE und bei Philips Leiterin des Bereichs Hospital to Home für die Region DACH.</w:t>
      </w:r>
    </w:p>
    <w:p w:rsidR="00725C62" w:rsidRPr="006F0342" w:rsidRDefault="00725C62" w:rsidP="006F0342">
      <w:pPr>
        <w:rPr>
          <w:rFonts w:asciiTheme="minorHAnsi" w:hAnsiTheme="minorHAnsi"/>
          <w:sz w:val="22"/>
          <w:szCs w:val="22"/>
        </w:rPr>
      </w:pPr>
    </w:p>
    <w:p w:rsidR="00B34EDD" w:rsidRPr="00B34EDD" w:rsidRDefault="006F0342" w:rsidP="00B34EDD">
      <w:pPr>
        <w:rPr>
          <w:rFonts w:asciiTheme="minorHAnsi" w:hAnsiTheme="minorHAnsi"/>
          <w:iCs/>
          <w:sz w:val="22"/>
          <w:szCs w:val="22"/>
        </w:rPr>
      </w:pPr>
      <w:r w:rsidRPr="006F0342">
        <w:rPr>
          <w:rFonts w:asciiTheme="minorHAnsi" w:hAnsiTheme="minorHAnsi"/>
          <w:sz w:val="22"/>
          <w:szCs w:val="22"/>
        </w:rPr>
        <w:t>Die medizinische, präventive und patientenze</w:t>
      </w:r>
      <w:r w:rsidR="004B7330">
        <w:rPr>
          <w:rFonts w:asciiTheme="minorHAnsi" w:hAnsiTheme="minorHAnsi"/>
          <w:sz w:val="22"/>
          <w:szCs w:val="22"/>
        </w:rPr>
        <w:t>ntrierte Sichtweise wird</w:t>
      </w:r>
      <w:r w:rsidRPr="006F0342">
        <w:rPr>
          <w:rFonts w:asciiTheme="minorHAnsi" w:hAnsiTheme="minorHAnsi"/>
          <w:sz w:val="22"/>
          <w:szCs w:val="22"/>
        </w:rPr>
        <w:t xml:space="preserve"> durch die </w:t>
      </w:r>
      <w:r w:rsidRPr="006F0342">
        <w:rPr>
          <w:rFonts w:asciiTheme="minorHAnsi" w:hAnsiTheme="minorHAnsi"/>
          <w:b/>
          <w:sz w:val="22"/>
          <w:szCs w:val="22"/>
        </w:rPr>
        <w:t>Medizinische Fakultät</w:t>
      </w:r>
      <w:r w:rsidRPr="006F0342">
        <w:rPr>
          <w:rFonts w:asciiTheme="minorHAnsi" w:hAnsiTheme="minorHAnsi"/>
          <w:sz w:val="22"/>
          <w:szCs w:val="22"/>
        </w:rPr>
        <w:t xml:space="preserve"> der </w:t>
      </w:r>
      <w:r w:rsidRPr="006F0342">
        <w:rPr>
          <w:rFonts w:asciiTheme="minorHAnsi" w:hAnsiTheme="minorHAnsi"/>
          <w:b/>
          <w:sz w:val="22"/>
          <w:szCs w:val="22"/>
        </w:rPr>
        <w:t>Technischen Universität Dresden</w:t>
      </w:r>
      <w:r w:rsidR="004B7330">
        <w:rPr>
          <w:rFonts w:asciiTheme="minorHAnsi" w:hAnsiTheme="minorHAnsi"/>
          <w:sz w:val="22"/>
          <w:szCs w:val="22"/>
        </w:rPr>
        <w:t>, die</w:t>
      </w:r>
      <w:r w:rsidRPr="006F0342">
        <w:rPr>
          <w:rFonts w:asciiTheme="minorHAnsi" w:hAnsiTheme="minorHAnsi"/>
          <w:sz w:val="22"/>
          <w:szCs w:val="22"/>
        </w:rPr>
        <w:t xml:space="preserve"> ebenfalls für die Evaluation zuständig ist</w:t>
      </w:r>
      <w:r w:rsidR="004B7330">
        <w:rPr>
          <w:rFonts w:asciiTheme="minorHAnsi" w:hAnsiTheme="minorHAnsi"/>
          <w:sz w:val="22"/>
          <w:szCs w:val="22"/>
        </w:rPr>
        <w:t>,</w:t>
      </w:r>
      <w:r w:rsidRPr="006F0342">
        <w:rPr>
          <w:rFonts w:asciiTheme="minorHAnsi" w:hAnsiTheme="minorHAnsi"/>
          <w:sz w:val="22"/>
          <w:szCs w:val="22"/>
        </w:rPr>
        <w:t xml:space="preserve"> sowie dem </w:t>
      </w:r>
      <w:r w:rsidRPr="006F0342">
        <w:rPr>
          <w:rFonts w:asciiTheme="minorHAnsi" w:hAnsiTheme="minorHAnsi"/>
          <w:b/>
          <w:sz w:val="22"/>
          <w:szCs w:val="22"/>
        </w:rPr>
        <w:t>TUMAINI - Institut für Präventionsmanagement GmbH</w:t>
      </w:r>
      <w:r w:rsidRPr="006F0342">
        <w:rPr>
          <w:rFonts w:asciiTheme="minorHAnsi" w:hAnsiTheme="minorHAnsi"/>
          <w:sz w:val="22"/>
          <w:szCs w:val="22"/>
        </w:rPr>
        <w:t xml:space="preserve"> eingenommen. Der </w:t>
      </w:r>
      <w:r w:rsidRPr="006F0342">
        <w:rPr>
          <w:rFonts w:asciiTheme="minorHAnsi" w:hAnsiTheme="minorHAnsi"/>
          <w:b/>
          <w:sz w:val="22"/>
          <w:szCs w:val="22"/>
        </w:rPr>
        <w:t>DRK Hausnotruf und Assistenzdienste in Sachsen und Sachsen-Anhalt</w:t>
      </w:r>
      <w:r w:rsidRPr="006F0342">
        <w:rPr>
          <w:rFonts w:asciiTheme="minorHAnsi" w:hAnsiTheme="minorHAnsi"/>
          <w:sz w:val="22"/>
          <w:szCs w:val="22"/>
        </w:rPr>
        <w:t xml:space="preserve"> übernimmt den Einbezug und die bedarfsgerechte Zuordnung sozialer Dienstleistungen für alle Teilnehmer sowie die Koordination der Patienten im Raum Dresden. In </w:t>
      </w:r>
      <w:r w:rsidR="004B7330">
        <w:rPr>
          <w:rFonts w:asciiTheme="minorHAnsi" w:hAnsiTheme="minorHAnsi"/>
          <w:sz w:val="22"/>
          <w:szCs w:val="22"/>
        </w:rPr>
        <w:t>der Region Leipzig zeichnet</w:t>
      </w:r>
      <w:r w:rsidRPr="006F0342">
        <w:rPr>
          <w:rFonts w:asciiTheme="minorHAnsi" w:hAnsiTheme="minorHAnsi"/>
          <w:sz w:val="22"/>
          <w:szCs w:val="22"/>
        </w:rPr>
        <w:t xml:space="preserve"> hierfür das </w:t>
      </w:r>
      <w:r w:rsidRPr="006F0342">
        <w:rPr>
          <w:rFonts w:asciiTheme="minorHAnsi" w:hAnsiTheme="minorHAnsi"/>
          <w:b/>
          <w:sz w:val="22"/>
          <w:szCs w:val="22"/>
        </w:rPr>
        <w:t>GeriNet Leipzig</w:t>
      </w:r>
      <w:r w:rsidRPr="006F0342">
        <w:rPr>
          <w:rFonts w:asciiTheme="minorHAnsi" w:hAnsiTheme="minorHAnsi"/>
          <w:sz w:val="22"/>
          <w:szCs w:val="22"/>
        </w:rPr>
        <w:t xml:space="preserve"> verantwortlich. Die Umsetzung der technischen Lösung liegt bei der auf IT-Lösungen zur bedarfsorientierten Gesundheitsversorgung spezialisierten Firma </w:t>
      </w:r>
      <w:r w:rsidRPr="006F0342">
        <w:rPr>
          <w:rFonts w:asciiTheme="minorHAnsi" w:hAnsiTheme="minorHAnsi"/>
          <w:b/>
          <w:sz w:val="22"/>
          <w:szCs w:val="22"/>
        </w:rPr>
        <w:t>vital.services GmbH</w:t>
      </w:r>
      <w:r w:rsidRPr="006F0342">
        <w:rPr>
          <w:rFonts w:asciiTheme="minorHAnsi" w:hAnsiTheme="minorHAnsi"/>
          <w:sz w:val="22"/>
          <w:szCs w:val="22"/>
        </w:rPr>
        <w:t xml:space="preserve"> sowie </w:t>
      </w:r>
      <w:r w:rsidRPr="006F0342">
        <w:rPr>
          <w:rFonts w:asciiTheme="minorHAnsi" w:hAnsiTheme="minorHAnsi"/>
          <w:b/>
          <w:sz w:val="22"/>
          <w:szCs w:val="22"/>
        </w:rPr>
        <w:t>Philips Medizin Systeme</w:t>
      </w:r>
      <w:r w:rsidR="004B7330">
        <w:rPr>
          <w:rFonts w:asciiTheme="minorHAnsi" w:hAnsiTheme="minorHAnsi"/>
          <w:sz w:val="22"/>
          <w:szCs w:val="22"/>
        </w:rPr>
        <w:t>. Philips leistet</w:t>
      </w:r>
      <w:r w:rsidRPr="006F0342">
        <w:rPr>
          <w:rFonts w:asciiTheme="minorHAnsi" w:hAnsiTheme="minorHAnsi"/>
          <w:sz w:val="22"/>
          <w:szCs w:val="22"/>
        </w:rPr>
        <w:t xml:space="preserve"> zudem die Projektkoordination und unterstützt bei der Erstellung der Versorgungsprogramme. </w:t>
      </w:r>
      <w:r w:rsidRPr="006F0342">
        <w:rPr>
          <w:rFonts w:asciiTheme="minorHAnsi" w:hAnsiTheme="minorHAnsi"/>
          <w:iCs/>
          <w:sz w:val="22"/>
          <w:szCs w:val="22"/>
        </w:rPr>
        <w:t>Das</w:t>
      </w:r>
      <w:r w:rsidRPr="006F0342">
        <w:rPr>
          <w:rFonts w:asciiTheme="minorHAnsi" w:hAnsiTheme="minorHAnsi"/>
          <w:b/>
          <w:bCs/>
          <w:iCs/>
          <w:sz w:val="22"/>
          <w:szCs w:val="22"/>
        </w:rPr>
        <w:t xml:space="preserve"> </w:t>
      </w:r>
      <w:r w:rsidRPr="006F0342">
        <w:rPr>
          <w:rStyle w:val="organization-name"/>
          <w:rFonts w:asciiTheme="minorHAnsi" w:hAnsiTheme="minorHAnsi" w:cs="Arial"/>
          <w:b/>
          <w:bCs/>
          <w:iCs/>
          <w:color w:val="000000"/>
          <w:sz w:val="22"/>
          <w:szCs w:val="22"/>
        </w:rPr>
        <w:t>Fraunhofer - Zentrum für Internationales Management und Wissensökonomie</w:t>
      </w:r>
      <w:r w:rsidRPr="006F0342">
        <w:rPr>
          <w:rFonts w:asciiTheme="minorHAnsi" w:hAnsiTheme="minorHAnsi"/>
          <w:iCs/>
          <w:sz w:val="22"/>
          <w:szCs w:val="22"/>
        </w:rPr>
        <w:t xml:space="preserve"> in Leipzig fokussiert sich in seiner </w:t>
      </w:r>
      <w:r w:rsidRPr="006F0342">
        <w:rPr>
          <w:rFonts w:asciiTheme="minorHAnsi" w:hAnsiTheme="minorHAnsi"/>
          <w:iCs/>
          <w:sz w:val="22"/>
          <w:szCs w:val="22"/>
        </w:rPr>
        <w:lastRenderedPageBreak/>
        <w:t>Forschung auf den Aspekt der Nutz</w:t>
      </w:r>
      <w:r w:rsidR="004B7330">
        <w:rPr>
          <w:rFonts w:asciiTheme="minorHAnsi" w:hAnsiTheme="minorHAnsi"/>
          <w:iCs/>
          <w:sz w:val="22"/>
          <w:szCs w:val="22"/>
        </w:rPr>
        <w:t>er- und Marktorientierung, d</w:t>
      </w:r>
      <w:r w:rsidRPr="006F0342">
        <w:rPr>
          <w:rFonts w:asciiTheme="minorHAnsi" w:hAnsiTheme="minorHAnsi"/>
          <w:iCs/>
          <w:sz w:val="22"/>
          <w:szCs w:val="22"/>
        </w:rPr>
        <w:t>er eine wichtige Rolle für die Übertragbarkeit und Nachhaltigke</w:t>
      </w:r>
      <w:r w:rsidR="004B7330">
        <w:rPr>
          <w:rFonts w:asciiTheme="minorHAnsi" w:hAnsiTheme="minorHAnsi"/>
          <w:iCs/>
          <w:sz w:val="22"/>
          <w:szCs w:val="22"/>
        </w:rPr>
        <w:t>it der Produkt-Dienstleistungsl</w:t>
      </w:r>
      <w:r w:rsidRPr="006F0342">
        <w:rPr>
          <w:rFonts w:asciiTheme="minorHAnsi" w:hAnsiTheme="minorHAnsi"/>
          <w:iCs/>
          <w:sz w:val="22"/>
          <w:szCs w:val="22"/>
        </w:rPr>
        <w:t>ösung spielt.</w:t>
      </w:r>
    </w:p>
    <w:p w:rsidR="004B7330" w:rsidRPr="006F0342" w:rsidRDefault="004B7330" w:rsidP="006F0342">
      <w:pPr>
        <w:rPr>
          <w:rFonts w:asciiTheme="minorHAnsi" w:hAnsiTheme="minorHAnsi"/>
          <w:sz w:val="22"/>
          <w:szCs w:val="22"/>
        </w:rPr>
      </w:pPr>
    </w:p>
    <w:p w:rsidR="006F0342" w:rsidRPr="006F0342" w:rsidRDefault="006F0342" w:rsidP="006F0342">
      <w:pPr>
        <w:rPr>
          <w:rFonts w:asciiTheme="minorHAnsi" w:hAnsiTheme="minorHAnsi"/>
          <w:sz w:val="22"/>
          <w:szCs w:val="22"/>
        </w:rPr>
      </w:pPr>
      <w:r w:rsidRPr="006F0342">
        <w:rPr>
          <w:rFonts w:asciiTheme="minorHAnsi" w:hAnsiTheme="minorHAnsi"/>
          <w:sz w:val="22"/>
          <w:szCs w:val="22"/>
        </w:rPr>
        <w:t>Besonderes Merkmal von ATMo</w:t>
      </w:r>
      <w:r w:rsidR="004B7330">
        <w:rPr>
          <w:rFonts w:asciiTheme="minorHAnsi" w:hAnsiTheme="minorHAnsi"/>
          <w:sz w:val="22"/>
          <w:szCs w:val="22"/>
        </w:rPr>
        <w:t>SPHÄRE ist die Einbeziehung kognitiv beeinträchtigter</w:t>
      </w:r>
      <w:r w:rsidRPr="006F0342">
        <w:rPr>
          <w:rFonts w:asciiTheme="minorHAnsi" w:hAnsiTheme="minorHAnsi"/>
          <w:sz w:val="22"/>
          <w:szCs w:val="22"/>
        </w:rPr>
        <w:t xml:space="preserve"> Patienten, um festzustellen, wie diese von dem Versorgungssystem profitieren können und welche Verbesserungen erforderlich sind, damit auch diese Patientengruppe zukünftig telemedizinisch betreut werden kann. </w:t>
      </w:r>
    </w:p>
    <w:p w:rsidR="006F0342" w:rsidRPr="006F0342" w:rsidRDefault="006F0342" w:rsidP="006F0342">
      <w:pPr>
        <w:rPr>
          <w:rFonts w:asciiTheme="minorHAnsi" w:hAnsiTheme="minorHAnsi"/>
          <w:sz w:val="22"/>
          <w:szCs w:val="22"/>
        </w:rPr>
      </w:pPr>
    </w:p>
    <w:p w:rsidR="006F0342" w:rsidRPr="006F0342" w:rsidRDefault="006F0342" w:rsidP="006F0342">
      <w:pPr>
        <w:rPr>
          <w:rFonts w:asciiTheme="minorHAnsi" w:hAnsiTheme="minorHAnsi"/>
          <w:b/>
          <w:sz w:val="22"/>
          <w:szCs w:val="22"/>
        </w:rPr>
      </w:pPr>
      <w:r w:rsidRPr="006F0342">
        <w:rPr>
          <w:rFonts w:asciiTheme="minorHAnsi" w:hAnsiTheme="minorHAnsi"/>
          <w:b/>
          <w:sz w:val="22"/>
          <w:szCs w:val="22"/>
        </w:rPr>
        <w:t>Förderung des BMBF über drei Jahre</w:t>
      </w:r>
    </w:p>
    <w:p w:rsidR="006F0342" w:rsidRPr="006F0342" w:rsidRDefault="006F0342" w:rsidP="006F0342">
      <w:pPr>
        <w:rPr>
          <w:rFonts w:asciiTheme="minorHAnsi" w:hAnsiTheme="minorHAnsi"/>
          <w:sz w:val="22"/>
          <w:szCs w:val="22"/>
        </w:rPr>
      </w:pPr>
      <w:r w:rsidRPr="006F0342">
        <w:rPr>
          <w:rFonts w:asciiTheme="minorHAnsi" w:hAnsiTheme="minorHAnsi"/>
          <w:sz w:val="22"/>
          <w:szCs w:val="22"/>
        </w:rPr>
        <w:t>Das im Oktober 2015 in Sachsen gestartete Projekt mit dem Förderkennzeichen 13GW0075A, wird vom Bundesministerium für Bildung und Forschung (BMBF) - innerhalb des Förde</w:t>
      </w:r>
      <w:r w:rsidR="004B7330">
        <w:rPr>
          <w:rFonts w:asciiTheme="minorHAnsi" w:hAnsiTheme="minorHAnsi"/>
          <w:sz w:val="22"/>
          <w:szCs w:val="22"/>
        </w:rPr>
        <w:t>rprogramm</w:t>
      </w:r>
      <w:r w:rsidRPr="006F0342">
        <w:rPr>
          <w:rFonts w:asciiTheme="minorHAnsi" w:hAnsiTheme="minorHAnsi"/>
          <w:sz w:val="22"/>
          <w:szCs w:val="22"/>
        </w:rPr>
        <w:t>s „Medizintechnische Lösungen bei Multimorbid</w:t>
      </w:r>
      <w:r w:rsidR="004B7330">
        <w:rPr>
          <w:rFonts w:asciiTheme="minorHAnsi" w:hAnsiTheme="minorHAnsi"/>
          <w:sz w:val="22"/>
          <w:szCs w:val="22"/>
        </w:rPr>
        <w:t>ität“ im Rahmen des Aktionsfeld</w:t>
      </w:r>
      <w:r w:rsidRPr="006F0342">
        <w:rPr>
          <w:rFonts w:asciiTheme="minorHAnsi" w:hAnsiTheme="minorHAnsi"/>
          <w:sz w:val="22"/>
          <w:szCs w:val="22"/>
        </w:rPr>
        <w:t xml:space="preserve">s Gesundheitswirtschaft der </w:t>
      </w:r>
      <w:r w:rsidR="004B7330">
        <w:rPr>
          <w:rFonts w:asciiTheme="minorHAnsi" w:hAnsiTheme="minorHAnsi"/>
          <w:sz w:val="22"/>
          <w:szCs w:val="22"/>
        </w:rPr>
        <w:t>Bundesregierung - mit mehr als drei</w:t>
      </w:r>
      <w:r w:rsidRPr="006F0342">
        <w:rPr>
          <w:rFonts w:asciiTheme="minorHAnsi" w:hAnsiTheme="minorHAnsi"/>
          <w:sz w:val="22"/>
          <w:szCs w:val="22"/>
        </w:rPr>
        <w:t xml:space="preserve"> Millionen Euro gefördert. Bis Ende 2018 werd</w:t>
      </w:r>
      <w:r w:rsidR="004B7330">
        <w:rPr>
          <w:rFonts w:asciiTheme="minorHAnsi" w:hAnsiTheme="minorHAnsi"/>
          <w:sz w:val="22"/>
          <w:szCs w:val="22"/>
        </w:rPr>
        <w:t>en an dem Projekt 700 Patien</w:t>
      </w:r>
      <w:r w:rsidR="00655D82">
        <w:rPr>
          <w:rFonts w:asciiTheme="minorHAnsi" w:hAnsiTheme="minorHAnsi"/>
          <w:sz w:val="22"/>
          <w:szCs w:val="22"/>
        </w:rPr>
        <w:t>t</w:t>
      </w:r>
      <w:r w:rsidRPr="006F0342">
        <w:rPr>
          <w:rFonts w:asciiTheme="minorHAnsi" w:hAnsiTheme="minorHAnsi"/>
          <w:sz w:val="22"/>
          <w:szCs w:val="22"/>
        </w:rPr>
        <w:t>en teilnehmen.</w:t>
      </w:r>
    </w:p>
    <w:p w:rsidR="006F0342" w:rsidRPr="006F0342" w:rsidRDefault="006F0342" w:rsidP="006F0342">
      <w:pPr>
        <w:rPr>
          <w:rFonts w:asciiTheme="minorHAnsi" w:hAnsiTheme="minorHAnsi"/>
          <w:sz w:val="22"/>
          <w:szCs w:val="22"/>
        </w:rPr>
      </w:pPr>
    </w:p>
    <w:p w:rsidR="00830E9A" w:rsidRPr="001362C3" w:rsidRDefault="00830E9A" w:rsidP="006F0342">
      <w:pPr>
        <w:rPr>
          <w:rFonts w:asciiTheme="minorHAnsi" w:hAnsiTheme="minorHAnsi" w:cstheme="minorHAnsi"/>
          <w:sz w:val="22"/>
          <w:szCs w:val="22"/>
        </w:rPr>
      </w:pPr>
    </w:p>
    <w:p w:rsidR="004B7330" w:rsidRPr="004B7330" w:rsidRDefault="004B7330" w:rsidP="004B7330">
      <w:pPr>
        <w:rPr>
          <w:rFonts w:ascii="Calibri" w:hAnsi="Calibri" w:cs="Calibri"/>
          <w:b/>
          <w:sz w:val="22"/>
          <w:lang w:eastAsia="en-US"/>
        </w:rPr>
      </w:pPr>
      <w:r w:rsidRPr="004B7330">
        <w:rPr>
          <w:rFonts w:ascii="Calibri" w:hAnsi="Calibri" w:cs="Calibri"/>
          <w:b/>
          <w:sz w:val="22"/>
          <w:lang w:eastAsia="en-US"/>
        </w:rPr>
        <w:t>Weitere Informationen für Journalisten:</w:t>
      </w:r>
    </w:p>
    <w:p w:rsidR="004B7330" w:rsidRPr="004B7330" w:rsidRDefault="004B7330" w:rsidP="004B7330">
      <w:pPr>
        <w:rPr>
          <w:rFonts w:ascii="Calibri" w:hAnsi="Calibri"/>
          <w:sz w:val="22"/>
          <w:szCs w:val="20"/>
        </w:rPr>
      </w:pPr>
      <w:r w:rsidRPr="004B7330">
        <w:rPr>
          <w:rFonts w:ascii="Calibri" w:hAnsi="Calibri"/>
          <w:sz w:val="22"/>
          <w:szCs w:val="20"/>
        </w:rPr>
        <w:t>Kerstin Zimmermann</w:t>
      </w:r>
    </w:p>
    <w:p w:rsidR="004B7330" w:rsidRPr="00655D82" w:rsidRDefault="004B7330" w:rsidP="004B7330">
      <w:pPr>
        <w:rPr>
          <w:rFonts w:ascii="Calibri" w:hAnsi="Calibri"/>
          <w:sz w:val="22"/>
          <w:szCs w:val="20"/>
        </w:rPr>
      </w:pPr>
      <w:r w:rsidRPr="00655D82">
        <w:rPr>
          <w:rFonts w:ascii="Calibri" w:hAnsi="Calibri"/>
          <w:sz w:val="22"/>
          <w:szCs w:val="20"/>
        </w:rPr>
        <w:t>PR Managerin Health Systems</w:t>
      </w:r>
    </w:p>
    <w:p w:rsidR="004B7330" w:rsidRPr="00655D82" w:rsidRDefault="004B7330" w:rsidP="004B7330">
      <w:pPr>
        <w:rPr>
          <w:rFonts w:ascii="Calibri" w:hAnsi="Calibri"/>
          <w:sz w:val="22"/>
          <w:szCs w:val="20"/>
        </w:rPr>
      </w:pPr>
      <w:r w:rsidRPr="00655D82">
        <w:rPr>
          <w:rFonts w:ascii="Calibri" w:hAnsi="Calibri"/>
          <w:sz w:val="22"/>
          <w:szCs w:val="20"/>
        </w:rPr>
        <w:t>Brand, Communication &amp; Digital</w:t>
      </w:r>
    </w:p>
    <w:p w:rsidR="004B7330" w:rsidRPr="004B7330" w:rsidRDefault="004B7330" w:rsidP="004B7330">
      <w:pPr>
        <w:rPr>
          <w:rFonts w:ascii="Calibri" w:hAnsi="Calibri"/>
          <w:sz w:val="22"/>
          <w:szCs w:val="20"/>
        </w:rPr>
      </w:pPr>
      <w:r w:rsidRPr="004B7330">
        <w:rPr>
          <w:rFonts w:ascii="Calibri" w:hAnsi="Calibri"/>
          <w:sz w:val="22"/>
          <w:szCs w:val="20"/>
        </w:rPr>
        <w:t>Philips GmbH</w:t>
      </w:r>
    </w:p>
    <w:p w:rsidR="004B7330" w:rsidRPr="004B7330" w:rsidRDefault="004B7330" w:rsidP="004B7330">
      <w:pPr>
        <w:rPr>
          <w:rFonts w:ascii="Calibri" w:hAnsi="Calibri"/>
          <w:sz w:val="22"/>
          <w:szCs w:val="20"/>
        </w:rPr>
      </w:pPr>
      <w:r w:rsidRPr="004B7330">
        <w:rPr>
          <w:rFonts w:ascii="Calibri" w:hAnsi="Calibri"/>
          <w:sz w:val="22"/>
          <w:szCs w:val="20"/>
        </w:rPr>
        <w:t>Röntgenstraße 22, 22335 Hamburg</w:t>
      </w:r>
    </w:p>
    <w:p w:rsidR="004B7330" w:rsidRPr="004B7330" w:rsidRDefault="004B7330" w:rsidP="004B7330">
      <w:pPr>
        <w:rPr>
          <w:rFonts w:ascii="Calibri" w:hAnsi="Calibri"/>
          <w:sz w:val="22"/>
          <w:szCs w:val="20"/>
        </w:rPr>
      </w:pPr>
      <w:r w:rsidRPr="004B7330">
        <w:rPr>
          <w:rFonts w:ascii="Calibri" w:hAnsi="Calibri"/>
          <w:sz w:val="22"/>
          <w:szCs w:val="20"/>
        </w:rPr>
        <w:t>Mobil: +49 (0) 171/81 80 186</w:t>
      </w:r>
    </w:p>
    <w:p w:rsidR="004B7330" w:rsidRPr="004B7330" w:rsidRDefault="004B7330" w:rsidP="004B7330">
      <w:pPr>
        <w:rPr>
          <w:rFonts w:ascii="Calibri" w:hAnsi="Calibri" w:cs="Calibri"/>
          <w:sz w:val="22"/>
          <w:szCs w:val="22"/>
          <w:lang w:val="it-IT"/>
        </w:rPr>
      </w:pPr>
      <w:r w:rsidRPr="004B7330">
        <w:rPr>
          <w:rFonts w:ascii="Calibri" w:hAnsi="Calibri" w:cs="Calibri"/>
          <w:sz w:val="22"/>
          <w:szCs w:val="22"/>
          <w:lang w:val="it-IT"/>
        </w:rPr>
        <w:t xml:space="preserve">E-Mail: </w:t>
      </w:r>
      <w:hyperlink r:id="rId8" w:history="1">
        <w:r w:rsidR="00655D82" w:rsidRPr="00D043A5">
          <w:rPr>
            <w:rStyle w:val="Hyperlink"/>
            <w:rFonts w:asciiTheme="minorHAnsi" w:hAnsiTheme="minorHAnsi" w:cs="Arial"/>
            <w:color w:val="0000FF"/>
            <w:szCs w:val="22"/>
            <w:u w:val="single"/>
          </w:rPr>
          <w:t>kerstin.zimmermann@philips.com</w:t>
        </w:r>
      </w:hyperlink>
    </w:p>
    <w:p w:rsidR="004B7330" w:rsidRPr="004B7330" w:rsidRDefault="004B7330" w:rsidP="004B7330">
      <w:pPr>
        <w:rPr>
          <w:rFonts w:ascii="Calibri" w:hAnsi="Calibri" w:cs="Arial"/>
          <w:sz w:val="22"/>
          <w:szCs w:val="22"/>
          <w:u w:val="single"/>
          <w:lang w:val="it-IT"/>
        </w:rPr>
      </w:pPr>
    </w:p>
    <w:p w:rsidR="004B7330" w:rsidRPr="004B7330" w:rsidRDefault="004B7330" w:rsidP="004B7330">
      <w:pPr>
        <w:rPr>
          <w:rFonts w:ascii="Calibri" w:hAnsi="Calibri" w:cs="Arial"/>
          <w:sz w:val="22"/>
          <w:szCs w:val="22"/>
          <w:u w:val="single"/>
        </w:rPr>
      </w:pPr>
      <w:r w:rsidRPr="004B7330">
        <w:rPr>
          <w:rFonts w:ascii="Calibri" w:hAnsi="Calibri"/>
          <w:b/>
          <w:bCs/>
          <w:sz w:val="22"/>
          <w:szCs w:val="22"/>
        </w:rPr>
        <w:t>Über Royal Philips</w:t>
      </w:r>
    </w:p>
    <w:p w:rsidR="00B34EDD" w:rsidRPr="004B7330" w:rsidRDefault="004B7330" w:rsidP="006F0342">
      <w:pPr>
        <w:rPr>
          <w:rFonts w:ascii="Calibri" w:hAnsi="Calibri"/>
          <w:color w:val="000000"/>
          <w:sz w:val="22"/>
          <w:szCs w:val="20"/>
        </w:rPr>
      </w:pPr>
      <w:r w:rsidRPr="004B7330">
        <w:rPr>
          <w:rFonts w:ascii="Calibri" w:hAnsi="Calibri"/>
          <w:color w:val="000000"/>
          <w:sz w:val="22"/>
          <w:szCs w:val="20"/>
        </w:rPr>
        <w:t xml:space="preserve">Royal Philips (NYSE: PHG, AEX: PHIA) ist ein führender Anbieter im Bereich der Gesundheitstechnologie. Ziel des Unternehmens mit Hauptsitz in den Niederlanden ist es, die Gesundheit der Menschen und die Versorgung in allen Phasen des Health Continuums mit Produkten und Lösungen für ein gesundes Leben, Prävention, Diagnostik, Therapie und häusliche Pflege zu verbessern. Grundlagen für die Entwicklung integrierter Lösungen sind die Nutzung fortschrittlicher Technologien sowie ein tiefgreifendes Verständnis für die Bedürfnisse sowohl von medizinischem Fachpersonal als auch von Konsumenten. Das Unternehmen ist führend in diagnostischer Bildgebung, bildgestützter Therapie, Patientenmonitoring und Gesundheits-IT sowie bei Gesundheitsprodukten für Verbraucher und in der häuslichen Pflege. </w:t>
      </w:r>
      <w:r w:rsidRPr="004B7330">
        <w:rPr>
          <w:rFonts w:ascii="Calibri" w:hAnsi="Calibri"/>
          <w:sz w:val="22"/>
          <w:szCs w:val="20"/>
        </w:rPr>
        <w:t xml:space="preserve">Philips Lighting, eine einhundertprozentige Tochter von Philips, ist weltweit Marktführer im Bereich von Lichtprodukten, Lichtsystemen und Anwendungen. Philips beschäftigt etwa 104.000 Mitarbeiter in mehr als 100 Ländern und erzielte in 2015 einen Umsatz von 24,2 Milliarden Euro. </w:t>
      </w:r>
      <w:r w:rsidRPr="004B7330">
        <w:rPr>
          <w:rFonts w:ascii="Calibri" w:hAnsi="Calibri"/>
          <w:sz w:val="22"/>
          <w:szCs w:val="20"/>
          <w:lang w:val="en-US"/>
        </w:rPr>
        <w:t xml:space="preserve">Mehr über Philips im Internet: </w:t>
      </w:r>
      <w:hyperlink r:id="rId9" w:history="1">
        <w:r w:rsidRPr="004B7330">
          <w:rPr>
            <w:rFonts w:ascii="Calibri" w:hAnsi="Calibri"/>
            <w:color w:val="000000"/>
            <w:sz w:val="22"/>
            <w:szCs w:val="20"/>
            <w:lang w:val="en-US"/>
          </w:rPr>
          <w:t>www.philips.de</w:t>
        </w:r>
      </w:hyperlink>
    </w:p>
    <w:sectPr w:rsidR="00B34EDD" w:rsidRPr="004B7330" w:rsidSect="00725C62">
      <w:headerReference w:type="default" r:id="rId10"/>
      <w:footerReference w:type="default" r:id="rId11"/>
      <w:headerReference w:type="first" r:id="rId12"/>
      <w:footerReference w:type="first" r:id="rId13"/>
      <w:pgSz w:w="11907" w:h="16839" w:code="9"/>
      <w:pgMar w:top="2529" w:right="1735" w:bottom="2268"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0FB" w:rsidRDefault="00D010FB">
      <w:r>
        <w:separator/>
      </w:r>
    </w:p>
  </w:endnote>
  <w:endnote w:type="continuationSeparator" w:id="0">
    <w:p w:rsidR="00D010FB" w:rsidRDefault="00D0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Pr="009E2945" w:rsidRDefault="00903C61" w:rsidP="002372E4">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03C61" w:rsidRPr="00A613E1" w:rsidTr="002372E4">
      <w:trPr>
        <w:cantSplit/>
        <w:trHeigh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lang w:val="en-GB"/>
            </w:rPr>
          </w:pPr>
          <w:bookmarkStart w:id="6" w:name="MLTableFooter"/>
        </w:p>
      </w:tc>
    </w:tr>
    <w:tr w:rsidR="00903C61" w:rsidRPr="00A613E1" w:rsidTr="002372E4">
      <w:trPr>
        <w:cantSplit/>
        <w:trHeight w:hRule="exact" w:val="907"/>
      </w:trPr>
      <w:tc>
        <w:tcPr>
          <w:tcW w:w="8414" w:type="dxa"/>
          <w:vAlign w:val="bottom"/>
        </w:tcPr>
        <w:p w:rsidR="00903C61" w:rsidRPr="009E2945" w:rsidRDefault="00903C61" w:rsidP="002372E4">
          <w:pPr>
            <w:framePr w:w="9979" w:h="567" w:wrap="notBeside" w:vAnchor="page" w:hAnchor="page" w:x="1736" w:yAlign="bottom"/>
            <w:jc w:val="center"/>
            <w:rPr>
              <w:rFonts w:cs="Calibri"/>
              <w:noProof/>
              <w:sz w:val="16"/>
              <w:szCs w:val="16"/>
              <w:lang w:val="en-GB"/>
            </w:rPr>
          </w:pPr>
          <w:bookmarkStart w:id="7" w:name="LgoShield2013"/>
          <w:r>
            <w:rPr>
              <w:rFonts w:cs="Calibri"/>
              <w:noProof/>
              <w:sz w:val="16"/>
              <w:szCs w:val="16"/>
            </w:rPr>
            <w:drawing>
              <wp:inline distT="0" distB="0" distL="0" distR="0">
                <wp:extent cx="447675" cy="571500"/>
                <wp:effectExtent l="0" t="0" r="9525" b="0"/>
                <wp:docPr id="5"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225849">
            <w:rPr>
              <w:rFonts w:cs="Calibri"/>
              <w:noProof/>
              <w:sz w:val="16"/>
              <w:szCs w:val="16"/>
              <w:lang w:val="en-GB"/>
            </w:rPr>
            <w:t xml:space="preserve"> </w:t>
          </w:r>
          <w:bookmarkEnd w:id="7"/>
        </w:p>
      </w:tc>
    </w:tr>
    <w:tr w:rsidR="00903C61" w:rsidRPr="00A613E1" w:rsidTr="002372E4">
      <w:trPr>
        <w:cantSplit/>
        <w:trHeight w:hRule="exact" w:val="454"/>
      </w:trPr>
      <w:tc>
        <w:tcPr>
          <w:tcW w:w="8414" w:type="dxa"/>
        </w:tcPr>
        <w:p w:rsidR="00903C61" w:rsidRPr="009E2945" w:rsidRDefault="00903C61" w:rsidP="002372E4">
          <w:pPr>
            <w:framePr w:w="9979" w:h="567" w:wrap="notBeside" w:vAnchor="page" w:hAnchor="page" w:x="1736" w:yAlign="bottom"/>
            <w:spacing w:line="180" w:lineRule="exact"/>
            <w:rPr>
              <w:rFonts w:cs="Calibri"/>
              <w:noProof/>
              <w:sz w:val="16"/>
              <w:szCs w:val="16"/>
              <w:lang w:val="en-GB"/>
            </w:rPr>
          </w:pPr>
        </w:p>
      </w:tc>
    </w:tr>
    <w:tr w:rsidR="00903C61" w:rsidRPr="007F663B" w:rsidTr="002372E4">
      <w:trPr>
        <w:cantSplit/>
        <w:trHeight w:val="493"/>
      </w:trPr>
      <w:tc>
        <w:tcPr>
          <w:tcW w:w="8414" w:type="dxa"/>
        </w:tcPr>
        <w:p w:rsidR="00903C61" w:rsidRPr="009B03CB" w:rsidRDefault="00903C61" w:rsidP="002372E4">
          <w:pPr>
            <w:framePr w:w="9979" w:h="567" w:wrap="notBeside" w:vAnchor="page" w:hAnchor="page" w:x="1736" w:yAlign="bottom"/>
            <w:spacing w:line="180" w:lineRule="exact"/>
            <w:rPr>
              <w:rFonts w:cs="Calibri"/>
              <w:noProof/>
              <w:sz w:val="16"/>
              <w:szCs w:val="16"/>
              <w:lang w:val="en-GB"/>
            </w:rPr>
          </w:pPr>
        </w:p>
      </w:tc>
    </w:tr>
    <w:bookmarkEnd w:id="6"/>
  </w:tbl>
  <w:p w:rsidR="00903C61" w:rsidRPr="009E2945" w:rsidRDefault="00903C61" w:rsidP="002372E4">
    <w:pPr>
      <w:framePr w:w="9979" w:h="567" w:wrap="notBeside" w:vAnchor="page" w:hAnchor="page" w:x="1736" w:yAlign="bottom"/>
      <w:shd w:val="clear" w:color="FFFFFF" w:fill="auto"/>
      <w:rPr>
        <w:noProof/>
        <w:sz w:val="2"/>
        <w:szCs w:val="2"/>
        <w:lang w:val="en-GB"/>
      </w:rPr>
    </w:pPr>
  </w:p>
  <w:p w:rsidR="00903C61" w:rsidRDefault="00903C61">
    <w:pPr>
      <w:tabs>
        <w:tab w:val="left" w:pos="7035"/>
      </w:tabs>
      <w:spacing w:line="1400" w:lineRule="exact"/>
      <w:rPr>
        <w:sz w:val="2"/>
        <w:lang w:val="en-GB"/>
      </w:rPr>
    </w:pPr>
  </w:p>
  <w:p w:rsidR="00903C61" w:rsidRDefault="00903C61">
    <w:pPr>
      <w:spacing w:line="240" w:lineRule="exact"/>
      <w:rPr>
        <w:sz w:val="2"/>
        <w:lang w:val="en-GB"/>
      </w:rPr>
    </w:pPr>
  </w:p>
  <w:p w:rsidR="00903C61" w:rsidRDefault="00903C61">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0FB" w:rsidRDefault="00D010FB">
      <w:r>
        <w:separator/>
      </w:r>
    </w:p>
  </w:footnote>
  <w:footnote w:type="continuationSeparator" w:id="0">
    <w:p w:rsidR="00D010FB" w:rsidRDefault="00D010FB">
      <w:r>
        <w:continuationSeparator/>
      </w:r>
    </w:p>
  </w:footnote>
  <w:footnote w:id="1">
    <w:p w:rsidR="006F0342" w:rsidRPr="006F0342" w:rsidRDefault="006F0342" w:rsidP="006F0342">
      <w:pPr>
        <w:pStyle w:val="Funotentext"/>
        <w:rPr>
          <w:rFonts w:asciiTheme="minorHAnsi" w:hAnsiTheme="minorHAnsi"/>
          <w:sz w:val="16"/>
          <w:szCs w:val="16"/>
        </w:rPr>
      </w:pPr>
      <w:r w:rsidRPr="006F0342">
        <w:rPr>
          <w:rStyle w:val="Funotenzeichen"/>
          <w:rFonts w:asciiTheme="minorHAnsi" w:hAnsiTheme="minorHAnsi"/>
          <w:sz w:val="16"/>
          <w:szCs w:val="16"/>
        </w:rPr>
        <w:footnoteRef/>
      </w:r>
      <w:r w:rsidRPr="006F0342">
        <w:rPr>
          <w:rFonts w:asciiTheme="minorHAnsi" w:hAnsiTheme="minorHAnsi"/>
          <w:sz w:val="16"/>
          <w:szCs w:val="16"/>
        </w:rPr>
        <w:t xml:space="preserve"> Das Akronym ATMoSPHÄRE</w:t>
      </w:r>
      <w:r w:rsidRPr="006F0342">
        <w:rPr>
          <w:rFonts w:asciiTheme="minorHAnsi" w:hAnsiTheme="minorHAnsi"/>
          <w:sz w:val="16"/>
          <w:szCs w:val="16"/>
          <w:vertAlign w:val="superscript"/>
        </w:rPr>
        <w:t xml:space="preserve"> </w:t>
      </w:r>
      <w:r w:rsidRPr="006F0342">
        <w:rPr>
          <w:rFonts w:asciiTheme="minorHAnsi" w:hAnsiTheme="minorHAnsi"/>
          <w:sz w:val="16"/>
          <w:szCs w:val="16"/>
        </w:rPr>
        <w:t xml:space="preserve">steht für:  </w:t>
      </w:r>
      <w:r w:rsidRPr="006F0342">
        <w:rPr>
          <w:rFonts w:asciiTheme="minorHAnsi" w:hAnsiTheme="minorHAnsi" w:cs="Arial"/>
          <w:b/>
          <w:sz w:val="16"/>
          <w:szCs w:val="16"/>
        </w:rPr>
        <w:t>A</w:t>
      </w:r>
      <w:r w:rsidRPr="006F0342">
        <w:rPr>
          <w:rFonts w:asciiTheme="minorHAnsi" w:hAnsiTheme="minorHAnsi" w:cs="Arial"/>
          <w:sz w:val="16"/>
          <w:szCs w:val="16"/>
        </w:rPr>
        <w:t xml:space="preserve">utonomie </w:t>
      </w:r>
      <w:r w:rsidRPr="006F0342">
        <w:rPr>
          <w:rFonts w:asciiTheme="minorHAnsi" w:hAnsiTheme="minorHAnsi" w:cs="Arial"/>
          <w:b/>
          <w:sz w:val="16"/>
          <w:szCs w:val="16"/>
        </w:rPr>
        <w:t>t</w:t>
      </w:r>
      <w:r w:rsidRPr="006F0342">
        <w:rPr>
          <w:rFonts w:asciiTheme="minorHAnsi" w:hAnsiTheme="minorHAnsi" w:cs="Arial"/>
          <w:sz w:val="16"/>
          <w:szCs w:val="16"/>
        </w:rPr>
        <w:t xml:space="preserve">rotz </w:t>
      </w:r>
      <w:r w:rsidRPr="006F0342">
        <w:rPr>
          <w:rFonts w:asciiTheme="minorHAnsi" w:hAnsiTheme="minorHAnsi" w:cs="Arial"/>
          <w:b/>
          <w:sz w:val="16"/>
          <w:szCs w:val="16"/>
        </w:rPr>
        <w:t>M</w:t>
      </w:r>
      <w:r w:rsidRPr="006F0342">
        <w:rPr>
          <w:rFonts w:asciiTheme="minorHAnsi" w:hAnsiTheme="minorHAnsi" w:cs="Arial"/>
          <w:sz w:val="16"/>
          <w:szCs w:val="16"/>
        </w:rPr>
        <w:t>ultim</w:t>
      </w:r>
      <w:r w:rsidRPr="006F0342">
        <w:rPr>
          <w:rFonts w:asciiTheme="minorHAnsi" w:hAnsiTheme="minorHAnsi" w:cs="Arial"/>
          <w:b/>
          <w:sz w:val="16"/>
          <w:szCs w:val="16"/>
        </w:rPr>
        <w:t>o</w:t>
      </w:r>
      <w:r w:rsidRPr="006F0342">
        <w:rPr>
          <w:rFonts w:asciiTheme="minorHAnsi" w:hAnsiTheme="minorHAnsi" w:cs="Arial"/>
          <w:sz w:val="16"/>
          <w:szCs w:val="16"/>
        </w:rPr>
        <w:t xml:space="preserve">rbidität in </w:t>
      </w:r>
      <w:r w:rsidRPr="006F0342">
        <w:rPr>
          <w:rFonts w:asciiTheme="minorHAnsi" w:hAnsiTheme="minorHAnsi" w:cs="Arial"/>
          <w:b/>
          <w:sz w:val="16"/>
          <w:szCs w:val="16"/>
        </w:rPr>
        <w:t>S</w:t>
      </w:r>
      <w:r w:rsidRPr="006F0342">
        <w:rPr>
          <w:rFonts w:asciiTheme="minorHAnsi" w:hAnsiTheme="minorHAnsi" w:cs="Arial"/>
          <w:sz w:val="16"/>
          <w:szCs w:val="16"/>
        </w:rPr>
        <w:t xml:space="preserve">achsen durch </w:t>
      </w:r>
      <w:r w:rsidRPr="006F0342">
        <w:rPr>
          <w:rFonts w:asciiTheme="minorHAnsi" w:hAnsiTheme="minorHAnsi" w:cs="Arial"/>
          <w:b/>
          <w:sz w:val="16"/>
          <w:szCs w:val="16"/>
        </w:rPr>
        <w:t>P</w:t>
      </w:r>
      <w:r w:rsidRPr="006F0342">
        <w:rPr>
          <w:rFonts w:asciiTheme="minorHAnsi" w:hAnsiTheme="minorHAnsi" w:cs="Arial"/>
          <w:sz w:val="16"/>
          <w:szCs w:val="16"/>
        </w:rPr>
        <w:t xml:space="preserve">atientenempowerment, </w:t>
      </w:r>
      <w:r w:rsidRPr="006F0342">
        <w:rPr>
          <w:rFonts w:asciiTheme="minorHAnsi" w:hAnsiTheme="minorHAnsi" w:cs="Arial"/>
          <w:b/>
          <w:sz w:val="16"/>
          <w:szCs w:val="16"/>
        </w:rPr>
        <w:t>H</w:t>
      </w:r>
      <w:r w:rsidRPr="006F0342">
        <w:rPr>
          <w:rFonts w:asciiTheme="minorHAnsi" w:hAnsiTheme="minorHAnsi" w:cs="Arial"/>
          <w:sz w:val="16"/>
          <w:szCs w:val="16"/>
        </w:rPr>
        <w:t xml:space="preserve">olistische Versorgung für </w:t>
      </w:r>
      <w:r w:rsidRPr="006F0342">
        <w:rPr>
          <w:rFonts w:asciiTheme="minorHAnsi" w:hAnsiTheme="minorHAnsi" w:cs="Arial"/>
          <w:b/>
          <w:sz w:val="16"/>
          <w:szCs w:val="16"/>
        </w:rPr>
        <w:t>Ä</w:t>
      </w:r>
      <w:r w:rsidRPr="006F0342">
        <w:rPr>
          <w:rFonts w:asciiTheme="minorHAnsi" w:hAnsiTheme="minorHAnsi" w:cs="Arial"/>
          <w:sz w:val="16"/>
          <w:szCs w:val="16"/>
        </w:rPr>
        <w:t xml:space="preserve">ltere mit Vernetzung aller </w:t>
      </w:r>
      <w:r w:rsidRPr="006F0342">
        <w:rPr>
          <w:rFonts w:asciiTheme="minorHAnsi" w:hAnsiTheme="minorHAnsi" w:cs="Arial"/>
          <w:b/>
          <w:sz w:val="16"/>
          <w:szCs w:val="16"/>
        </w:rPr>
        <w:t>R</w:t>
      </w:r>
      <w:r w:rsidRPr="006F0342">
        <w:rPr>
          <w:rFonts w:asciiTheme="minorHAnsi" w:hAnsiTheme="minorHAnsi" w:cs="Arial"/>
          <w:sz w:val="16"/>
          <w:szCs w:val="16"/>
        </w:rPr>
        <w:t xml:space="preserve">egionalen </w:t>
      </w:r>
      <w:r w:rsidRPr="006F0342">
        <w:rPr>
          <w:rFonts w:asciiTheme="minorHAnsi" w:hAnsiTheme="minorHAnsi" w:cs="Arial"/>
          <w:b/>
          <w:sz w:val="16"/>
          <w:szCs w:val="16"/>
        </w:rPr>
        <w:t>E</w:t>
      </w:r>
      <w:r w:rsidRPr="006F0342">
        <w:rPr>
          <w:rFonts w:asciiTheme="minorHAnsi" w:hAnsiTheme="minorHAnsi" w:cs="Arial"/>
          <w:sz w:val="16"/>
          <w:szCs w:val="16"/>
        </w:rPr>
        <w:t>inrichtungen und Dienstleister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332" w:lineRule="exact"/>
      <w:rPr>
        <w:noProof/>
      </w:rPr>
    </w:pPr>
  </w:p>
  <w:p w:rsidR="00903C61" w:rsidRDefault="00903C61">
    <w:pPr>
      <w:framePr w:w="737" w:h="1746" w:hRule="exact" w:hSpace="181" w:wrap="around" w:vAnchor="page" w:hAnchor="page" w:x="800" w:yAlign="bottom"/>
      <w:shd w:val="solid" w:color="FFFFFF" w:fill="auto"/>
      <w:rPr>
        <w:sz w:val="2"/>
      </w:rPr>
    </w:pPr>
  </w:p>
  <w:p w:rsidR="00903C61" w:rsidRDefault="00903C61" w:rsidP="002372E4">
    <w:pPr>
      <w:framePr w:w="2954" w:h="856" w:wrap="around" w:vAnchor="page" w:hAnchor="page" w:x="1736" w:y="1243"/>
      <w:spacing w:line="720" w:lineRule="auto"/>
    </w:pPr>
    <w:bookmarkStart w:id="1" w:name="LgoWordmarkPage2"/>
    <w:r>
      <w:rPr>
        <w:rFonts w:cs="Calibri"/>
        <w:noProof/>
      </w:rPr>
      <w:drawing>
        <wp:inline distT="0" distB="0" distL="0" distR="0">
          <wp:extent cx="1104900" cy="200025"/>
          <wp:effectExtent l="0" t="0" r="0" b="9525"/>
          <wp:docPr id="4"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Pr>
        <w:rFonts w:cs="Calibri"/>
        <w:noProof/>
      </w:rPr>
      <w:t xml:space="preserve"> </w:t>
    </w:r>
    <w:bookmarkEnd w:id="1"/>
    <w:r>
      <w:t xml:space="preserve"> </w:t>
    </w:r>
  </w:p>
  <w:p w:rsidR="00903C61" w:rsidRDefault="00CE78A5">
    <w:pPr>
      <w:spacing w:line="240" w:lineRule="exact"/>
      <w:rPr>
        <w:lang w:val="en-GB"/>
      </w:rPr>
    </w:pPr>
    <w:r>
      <w:rPr>
        <w:lang w:val="en-GB"/>
      </w:rPr>
      <w:fldChar w:fldCharType="begin" w:fldLock="1"/>
    </w:r>
    <w:r w:rsidR="00903C61">
      <w:rPr>
        <w:lang w:val="en-GB"/>
      </w:rPr>
      <w:instrText xml:space="preserve"> REF Dashes \h </w:instrText>
    </w:r>
    <w:r>
      <w:rPr>
        <w:lang w:val="en-GB"/>
      </w:rPr>
    </w:r>
    <w:r>
      <w:rPr>
        <w:lang w:val="en-GB"/>
      </w:rPr>
      <w:fldChar w:fldCharType="separate"/>
    </w:r>
  </w:p>
  <w:p w:rsidR="00903C61" w:rsidRDefault="00CE78A5">
    <w:pPr>
      <w:spacing w:line="332" w:lineRule="exact"/>
      <w:rPr>
        <w:lang w:val="en-GB"/>
      </w:rPr>
    </w:pPr>
    <w:r>
      <w:rPr>
        <w:lang w:val="en-GB"/>
      </w:rPr>
      <w:fldChar w:fldCharType="end"/>
    </w:r>
  </w:p>
  <w:p w:rsidR="00903C61" w:rsidRDefault="00903C61">
    <w:pPr>
      <w:spacing w:line="332" w:lineRule="exact"/>
      <w:rPr>
        <w:lang w:val="en-GB"/>
      </w:rPr>
    </w:pPr>
  </w:p>
  <w:p w:rsidR="00903C61" w:rsidRDefault="00903C61">
    <w:pPr>
      <w:spacing w:line="332" w:lineRule="exact"/>
      <w:rPr>
        <w:lang w:val="en-GB"/>
      </w:rPr>
    </w:pPr>
  </w:p>
  <w:p w:rsidR="00903C61" w:rsidRDefault="00903C61">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903C61">
      <w:trPr>
        <w:cantSplit/>
      </w:trPr>
      <w:tc>
        <w:tcPr>
          <w:tcW w:w="4756" w:type="dxa"/>
        </w:tcPr>
        <w:p w:rsidR="00903C61" w:rsidRDefault="00903C61">
          <w:pPr>
            <w:rPr>
              <w:lang w:val="en-GB"/>
            </w:rPr>
          </w:pPr>
        </w:p>
      </w:tc>
      <w:tc>
        <w:tcPr>
          <w:tcW w:w="1585" w:type="dxa"/>
        </w:tcPr>
        <w:p w:rsidR="00903C61" w:rsidRDefault="00903C61">
          <w:pPr>
            <w:rPr>
              <w:lang w:val="en-GB"/>
            </w:rPr>
          </w:pPr>
        </w:p>
      </w:tc>
      <w:tc>
        <w:tcPr>
          <w:tcW w:w="3108" w:type="dxa"/>
          <w:tcMar>
            <w:right w:w="0" w:type="dxa"/>
          </w:tcMar>
        </w:tcPr>
        <w:p w:rsidR="00903C61" w:rsidRPr="00231901" w:rsidRDefault="00903C61" w:rsidP="002372E4">
          <w:pPr>
            <w:rPr>
              <w:rFonts w:asciiTheme="minorHAnsi" w:hAnsiTheme="minorHAnsi"/>
              <w:sz w:val="16"/>
              <w:szCs w:val="16"/>
              <w:lang w:val="en-GB"/>
            </w:rPr>
          </w:pPr>
          <w:bookmarkStart w:id="2" w:name="Page"/>
          <w:r w:rsidRPr="00231901">
            <w:rPr>
              <w:rFonts w:asciiTheme="minorHAnsi" w:hAnsiTheme="minorHAnsi"/>
              <w:sz w:val="16"/>
              <w:szCs w:val="16"/>
              <w:lang w:val="en-GB"/>
            </w:rPr>
            <w:t>Seite:</w:t>
          </w:r>
          <w:bookmarkEnd w:id="2"/>
          <w:r w:rsidRPr="00231901">
            <w:rPr>
              <w:rFonts w:asciiTheme="minorHAnsi" w:hAnsiTheme="minorHAnsi"/>
              <w:sz w:val="16"/>
              <w:szCs w:val="16"/>
              <w:lang w:val="en-GB"/>
            </w:rPr>
            <w:t xml:space="preserve"> </w:t>
          </w:r>
          <w:r w:rsidR="00CE78A5" w:rsidRPr="00231901">
            <w:rPr>
              <w:rFonts w:asciiTheme="minorHAnsi" w:hAnsiTheme="minorHAnsi"/>
              <w:sz w:val="16"/>
              <w:szCs w:val="16"/>
              <w:lang w:val="en-GB"/>
            </w:rPr>
            <w:fldChar w:fldCharType="begin"/>
          </w:r>
          <w:r w:rsidRPr="00231901">
            <w:rPr>
              <w:rFonts w:asciiTheme="minorHAnsi" w:hAnsiTheme="minorHAnsi"/>
              <w:sz w:val="16"/>
              <w:szCs w:val="16"/>
              <w:lang w:val="en-GB"/>
            </w:rPr>
            <w:instrText xml:space="preserve"> Page </w:instrText>
          </w:r>
          <w:r w:rsidR="00CE78A5" w:rsidRPr="00231901">
            <w:rPr>
              <w:rFonts w:asciiTheme="minorHAnsi" w:hAnsiTheme="minorHAnsi"/>
              <w:sz w:val="16"/>
              <w:szCs w:val="16"/>
              <w:lang w:val="en-GB"/>
            </w:rPr>
            <w:fldChar w:fldCharType="separate"/>
          </w:r>
          <w:r w:rsidR="00E204FF">
            <w:rPr>
              <w:rFonts w:asciiTheme="minorHAnsi" w:hAnsiTheme="minorHAnsi"/>
              <w:noProof/>
              <w:sz w:val="16"/>
              <w:szCs w:val="16"/>
              <w:lang w:val="en-GB"/>
            </w:rPr>
            <w:t>2</w:t>
          </w:r>
          <w:r w:rsidR="00CE78A5" w:rsidRPr="00231901">
            <w:rPr>
              <w:rFonts w:asciiTheme="minorHAnsi" w:hAnsiTheme="minorHAnsi"/>
              <w:sz w:val="16"/>
              <w:szCs w:val="16"/>
              <w:lang w:val="en-GB"/>
            </w:rPr>
            <w:fldChar w:fldCharType="end"/>
          </w:r>
        </w:p>
      </w:tc>
    </w:tr>
  </w:tbl>
  <w:p w:rsidR="00903C61" w:rsidRDefault="00903C61">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C61" w:rsidRDefault="00903C61">
    <w:pPr>
      <w:spacing w:line="240" w:lineRule="exact"/>
      <w:rPr>
        <w:noProof/>
      </w:rPr>
    </w:pPr>
    <w:bookmarkStart w:id="3" w:name="LgoWordmarkRef"/>
  </w:p>
  <w:p w:rsidR="00903C61" w:rsidRDefault="00903C61">
    <w:pPr>
      <w:spacing w:line="240" w:lineRule="exact"/>
      <w:rPr>
        <w:lang w:val="en-GB"/>
      </w:rPr>
    </w:pPr>
    <w:bookmarkStart w:id="4" w:name="Dashes"/>
    <w:bookmarkEnd w:id="3"/>
  </w:p>
  <w:bookmarkEnd w:id="4"/>
  <w:p w:rsidR="00903C61" w:rsidRDefault="00E204FF">
    <w:pPr>
      <w:spacing w:line="240" w:lineRule="exact"/>
      <w:rPr>
        <w:lang w:val="en-GB"/>
      </w:rPr>
    </w:pPr>
    <w:r>
      <w:rPr>
        <w:noProof/>
      </w:rPr>
      <mc:AlternateContent>
        <mc:Choice Requires="wps">
          <w:drawing>
            <wp:anchor distT="4294967291" distB="4294967291" distL="114300" distR="114300" simplePos="0" relativeHeight="251659264"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BDAB" id="Gerader Verbinder 2"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" strokeweight="1.5pt">
              <w10:wrap anchorx="margin" anchory="margin"/>
            </v:line>
          </w:pict>
        </mc:Fallback>
      </mc:AlternateContent>
    </w:r>
    <w:r>
      <w:rPr>
        <w:noProof/>
      </w:rPr>
      <mc:AlternateContent>
        <mc:Choice Requires="wps">
          <w:drawing>
            <wp:anchor distT="4294967291" distB="4294967291" distL="114300" distR="114300" simplePos="0" relativeHeight="251660288"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FECD" id="Gerader Verbinde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" strokeweight="1.5pt">
              <w10:wrap anchorx="margin" anchory="margin"/>
            </v:line>
          </w:pict>
        </mc:Fallback>
      </mc:AlternateContent>
    </w:r>
  </w:p>
  <w:p w:rsidR="00903C61" w:rsidRDefault="00903C61">
    <w:pPr>
      <w:spacing w:line="240" w:lineRule="exact"/>
      <w:rPr>
        <w:lang w:val="en-GB"/>
      </w:rPr>
    </w:pPr>
  </w:p>
  <w:p w:rsidR="00903C61" w:rsidRDefault="00903C61">
    <w:pPr>
      <w:spacing w:line="240" w:lineRule="exact"/>
      <w:rPr>
        <w:lang w:val="en-GB"/>
      </w:rPr>
    </w:pPr>
  </w:p>
  <w:p w:rsidR="00903C61" w:rsidRDefault="00903C61" w:rsidP="002372E4">
    <w:pPr>
      <w:framePr w:w="5687" w:h="964" w:hRule="exact" w:wrap="around" w:vAnchor="page" w:hAnchor="page" w:x="1736" w:y="1050" w:anchorLock="1"/>
      <w:rPr>
        <w:noProof/>
        <w:lang w:val="en-GB"/>
      </w:rPr>
    </w:pPr>
    <w:bookmarkStart w:id="5" w:name="LgoWordmark"/>
    <w:r>
      <w:rPr>
        <w:rFonts w:cs="Calibri"/>
        <w:noProof/>
      </w:rPr>
      <w:drawing>
        <wp:inline distT="0" distB="0" distL="0" distR="0">
          <wp:extent cx="1790700" cy="333375"/>
          <wp:effectExtent l="0" t="0" r="0" b="9525"/>
          <wp:docPr id="3"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Pr="00225849">
      <w:rPr>
        <w:rFonts w:cs="Calibri"/>
        <w:noProof/>
        <w:lang w:val="en-GB"/>
      </w:rPr>
      <w:t xml:space="preserve"> </w:t>
    </w:r>
    <w:bookmarkEnd w:id="5"/>
    <w:r>
      <w:rPr>
        <w:noProof/>
        <w:lang w:val="en-GB"/>
      </w:rPr>
      <w:t xml:space="preserve"> </w:t>
    </w:r>
  </w:p>
  <w:p w:rsidR="00903C61" w:rsidRDefault="00903C61">
    <w:pPr>
      <w:spacing w:line="240" w:lineRule="exact"/>
      <w:rPr>
        <w:lang w:val="en-GB"/>
      </w:rPr>
    </w:pPr>
  </w:p>
  <w:p w:rsidR="00903C61" w:rsidRDefault="00903C61">
    <w:pPr>
      <w:spacing w:line="240" w:lineRule="exact"/>
      <w:rPr>
        <w:lang w:val="en-GB"/>
      </w:rPr>
    </w:pPr>
  </w:p>
  <w:p w:rsidR="00903C61" w:rsidRDefault="00903C61">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8BE5440"/>
    <w:multiLevelType w:val="hybridMultilevel"/>
    <w:tmpl w:val="A460A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146D7C"/>
    <w:multiLevelType w:val="hybridMultilevel"/>
    <w:tmpl w:val="1AD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B6D94"/>
    <w:multiLevelType w:val="hybridMultilevel"/>
    <w:tmpl w:val="170C8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BA535F"/>
    <w:multiLevelType w:val="hybridMultilevel"/>
    <w:tmpl w:val="56E271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DD01E3"/>
    <w:multiLevelType w:val="multilevel"/>
    <w:tmpl w:val="462EC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E7139"/>
    <w:multiLevelType w:val="hybridMultilevel"/>
    <w:tmpl w:val="4E22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9788D"/>
    <w:multiLevelType w:val="multilevel"/>
    <w:tmpl w:val="04F0D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684E0A"/>
    <w:multiLevelType w:val="hybridMultilevel"/>
    <w:tmpl w:val="9D86C6F6"/>
    <w:lvl w:ilvl="0" w:tplc="04070001">
      <w:start w:val="1"/>
      <w:numFmt w:val="bullet"/>
      <w:lvlText w:val=""/>
      <w:lvlJc w:val="left"/>
      <w:pPr>
        <w:ind w:left="720" w:hanging="360"/>
      </w:pPr>
      <w:rPr>
        <w:rFonts w:ascii="Symbol" w:hAnsi="Symbol" w:hint="default"/>
      </w:rPr>
    </w:lvl>
    <w:lvl w:ilvl="1" w:tplc="5778F920">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8702C"/>
    <w:multiLevelType w:val="hybridMultilevel"/>
    <w:tmpl w:val="E9DACD3C"/>
    <w:lvl w:ilvl="0" w:tplc="CE7854F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7"/>
  </w:num>
  <w:num w:numId="6">
    <w:abstractNumId w:val="1"/>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3C"/>
    <w:rsid w:val="0000688B"/>
    <w:rsid w:val="000427E7"/>
    <w:rsid w:val="000523B3"/>
    <w:rsid w:val="0006258E"/>
    <w:rsid w:val="00073445"/>
    <w:rsid w:val="00084D5C"/>
    <w:rsid w:val="000D3E51"/>
    <w:rsid w:val="001362C3"/>
    <w:rsid w:val="00152F11"/>
    <w:rsid w:val="00166684"/>
    <w:rsid w:val="0018127E"/>
    <w:rsid w:val="00182FAE"/>
    <w:rsid w:val="001951DC"/>
    <w:rsid w:val="00196B49"/>
    <w:rsid w:val="0019754E"/>
    <w:rsid w:val="001A6087"/>
    <w:rsid w:val="001A6C47"/>
    <w:rsid w:val="001B7F80"/>
    <w:rsid w:val="001E2C16"/>
    <w:rsid w:val="002372E4"/>
    <w:rsid w:val="002412C6"/>
    <w:rsid w:val="00252BFE"/>
    <w:rsid w:val="00291F30"/>
    <w:rsid w:val="002A1F7B"/>
    <w:rsid w:val="002C4EFD"/>
    <w:rsid w:val="002C5E55"/>
    <w:rsid w:val="002D27B3"/>
    <w:rsid w:val="002F18BF"/>
    <w:rsid w:val="00315F7A"/>
    <w:rsid w:val="0033340D"/>
    <w:rsid w:val="003562CF"/>
    <w:rsid w:val="0035648B"/>
    <w:rsid w:val="00364D92"/>
    <w:rsid w:val="003879EA"/>
    <w:rsid w:val="003D72CD"/>
    <w:rsid w:val="003E184A"/>
    <w:rsid w:val="003F5BBD"/>
    <w:rsid w:val="00406292"/>
    <w:rsid w:val="00412A3D"/>
    <w:rsid w:val="00423B21"/>
    <w:rsid w:val="00435987"/>
    <w:rsid w:val="004500AE"/>
    <w:rsid w:val="0048340E"/>
    <w:rsid w:val="00483A42"/>
    <w:rsid w:val="00487349"/>
    <w:rsid w:val="004A1D76"/>
    <w:rsid w:val="004B7330"/>
    <w:rsid w:val="004C3077"/>
    <w:rsid w:val="004C4B04"/>
    <w:rsid w:val="004C65AB"/>
    <w:rsid w:val="004D2989"/>
    <w:rsid w:val="004D6289"/>
    <w:rsid w:val="004F0CE5"/>
    <w:rsid w:val="0051181B"/>
    <w:rsid w:val="0051754F"/>
    <w:rsid w:val="00521168"/>
    <w:rsid w:val="00523E49"/>
    <w:rsid w:val="00534DA0"/>
    <w:rsid w:val="00557785"/>
    <w:rsid w:val="00582850"/>
    <w:rsid w:val="00590731"/>
    <w:rsid w:val="005C4116"/>
    <w:rsid w:val="005C54F0"/>
    <w:rsid w:val="005D2B14"/>
    <w:rsid w:val="005D3596"/>
    <w:rsid w:val="005F63D2"/>
    <w:rsid w:val="00601156"/>
    <w:rsid w:val="0062763C"/>
    <w:rsid w:val="00642F2D"/>
    <w:rsid w:val="006476C6"/>
    <w:rsid w:val="00654FF3"/>
    <w:rsid w:val="00655D82"/>
    <w:rsid w:val="00664905"/>
    <w:rsid w:val="00697F9A"/>
    <w:rsid w:val="006F0342"/>
    <w:rsid w:val="007053B2"/>
    <w:rsid w:val="007239D0"/>
    <w:rsid w:val="007254C0"/>
    <w:rsid w:val="00725C62"/>
    <w:rsid w:val="00740741"/>
    <w:rsid w:val="00740C22"/>
    <w:rsid w:val="00783F44"/>
    <w:rsid w:val="00786197"/>
    <w:rsid w:val="007909A0"/>
    <w:rsid w:val="007977AE"/>
    <w:rsid w:val="007A566B"/>
    <w:rsid w:val="007B5280"/>
    <w:rsid w:val="007D41D3"/>
    <w:rsid w:val="00830E9A"/>
    <w:rsid w:val="0084384F"/>
    <w:rsid w:val="0084654E"/>
    <w:rsid w:val="00866E82"/>
    <w:rsid w:val="00873ECA"/>
    <w:rsid w:val="00874D2B"/>
    <w:rsid w:val="00886BA0"/>
    <w:rsid w:val="0089664A"/>
    <w:rsid w:val="008A2ECE"/>
    <w:rsid w:val="008C2F99"/>
    <w:rsid w:val="008F02A9"/>
    <w:rsid w:val="009002F7"/>
    <w:rsid w:val="009030CA"/>
    <w:rsid w:val="00903C61"/>
    <w:rsid w:val="00942FD3"/>
    <w:rsid w:val="00995EB2"/>
    <w:rsid w:val="009B0D38"/>
    <w:rsid w:val="009E23D3"/>
    <w:rsid w:val="009E53D5"/>
    <w:rsid w:val="009F7772"/>
    <w:rsid w:val="00A400A9"/>
    <w:rsid w:val="00AA1050"/>
    <w:rsid w:val="00AA1DB0"/>
    <w:rsid w:val="00AB50C5"/>
    <w:rsid w:val="00AC125F"/>
    <w:rsid w:val="00AD7BED"/>
    <w:rsid w:val="00AE0922"/>
    <w:rsid w:val="00B158D9"/>
    <w:rsid w:val="00B34EDD"/>
    <w:rsid w:val="00B361E0"/>
    <w:rsid w:val="00B42B07"/>
    <w:rsid w:val="00B667D7"/>
    <w:rsid w:val="00B70777"/>
    <w:rsid w:val="00B754B4"/>
    <w:rsid w:val="00B919C0"/>
    <w:rsid w:val="00B91D1E"/>
    <w:rsid w:val="00BA3CCF"/>
    <w:rsid w:val="00BC4168"/>
    <w:rsid w:val="00C03CF9"/>
    <w:rsid w:val="00C11FB1"/>
    <w:rsid w:val="00C22E99"/>
    <w:rsid w:val="00C63039"/>
    <w:rsid w:val="00C65664"/>
    <w:rsid w:val="00C77120"/>
    <w:rsid w:val="00CA12EA"/>
    <w:rsid w:val="00CB45BF"/>
    <w:rsid w:val="00CC541A"/>
    <w:rsid w:val="00CE78A5"/>
    <w:rsid w:val="00D010FB"/>
    <w:rsid w:val="00D236AC"/>
    <w:rsid w:val="00D36E9F"/>
    <w:rsid w:val="00D75CD2"/>
    <w:rsid w:val="00D9593E"/>
    <w:rsid w:val="00D97FF5"/>
    <w:rsid w:val="00DD3BC9"/>
    <w:rsid w:val="00DD52B7"/>
    <w:rsid w:val="00DE75B5"/>
    <w:rsid w:val="00E13794"/>
    <w:rsid w:val="00E16B16"/>
    <w:rsid w:val="00E204FF"/>
    <w:rsid w:val="00E252B2"/>
    <w:rsid w:val="00E26F37"/>
    <w:rsid w:val="00E36D29"/>
    <w:rsid w:val="00E57E70"/>
    <w:rsid w:val="00E61858"/>
    <w:rsid w:val="00E75E31"/>
    <w:rsid w:val="00E76092"/>
    <w:rsid w:val="00EA409E"/>
    <w:rsid w:val="00EA5AC1"/>
    <w:rsid w:val="00EB4634"/>
    <w:rsid w:val="00ED726F"/>
    <w:rsid w:val="00F40D76"/>
    <w:rsid w:val="00F42BE9"/>
    <w:rsid w:val="00F4395A"/>
    <w:rsid w:val="00F82B82"/>
    <w:rsid w:val="00F972E6"/>
    <w:rsid w:val="00FA57EA"/>
    <w:rsid w:val="00FC2BE8"/>
    <w:rsid w:val="00FD047A"/>
    <w:rsid w:val="00FD69FC"/>
    <w:rsid w:val="00FF053C"/>
    <w:rsid w:val="00FF7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116A0D4D-8769-4118-B6DA-62C2942C0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053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F053C"/>
    <w:rPr>
      <w:strike w:val="0"/>
      <w:dstrike w:val="0"/>
      <w:color w:val="000000"/>
      <w:u w:val="none"/>
      <w:effect w:val="none"/>
    </w:rPr>
  </w:style>
  <w:style w:type="paragraph" w:styleId="Listenabsatz">
    <w:name w:val="List Paragraph"/>
    <w:basedOn w:val="Standard"/>
    <w:uiPriority w:val="34"/>
    <w:qFormat/>
    <w:rsid w:val="00FF053C"/>
    <w:pPr>
      <w:ind w:left="720"/>
      <w:contextualSpacing/>
    </w:pPr>
  </w:style>
  <w:style w:type="paragraph" w:styleId="Sprechblasentext">
    <w:name w:val="Balloon Text"/>
    <w:basedOn w:val="Standard"/>
    <w:link w:val="SprechblasentextZchn"/>
    <w:uiPriority w:val="99"/>
    <w:semiHidden/>
    <w:unhideWhenUsed/>
    <w:rsid w:val="00E75E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5E31"/>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7B5280"/>
    <w:rPr>
      <w:sz w:val="16"/>
      <w:szCs w:val="16"/>
    </w:rPr>
  </w:style>
  <w:style w:type="paragraph" w:styleId="Kommentartext">
    <w:name w:val="annotation text"/>
    <w:basedOn w:val="Standard"/>
    <w:link w:val="KommentartextZchn"/>
    <w:uiPriority w:val="99"/>
    <w:semiHidden/>
    <w:unhideWhenUsed/>
    <w:rsid w:val="007B5280"/>
    <w:rPr>
      <w:sz w:val="20"/>
      <w:szCs w:val="20"/>
    </w:rPr>
  </w:style>
  <w:style w:type="character" w:customStyle="1" w:styleId="KommentartextZchn">
    <w:name w:val="Kommentartext Zchn"/>
    <w:basedOn w:val="Absatz-Standardschriftart"/>
    <w:link w:val="Kommentartext"/>
    <w:uiPriority w:val="99"/>
    <w:semiHidden/>
    <w:rsid w:val="007B5280"/>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B5280"/>
    <w:rPr>
      <w:b/>
      <w:bCs/>
    </w:rPr>
  </w:style>
  <w:style w:type="character" w:customStyle="1" w:styleId="KommentarthemaZchn">
    <w:name w:val="Kommentarthema Zchn"/>
    <w:basedOn w:val="KommentartextZchn"/>
    <w:link w:val="Kommentarthema"/>
    <w:uiPriority w:val="99"/>
    <w:semiHidden/>
    <w:rsid w:val="007B5280"/>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D36E9F"/>
    <w:rPr>
      <w:sz w:val="20"/>
      <w:szCs w:val="20"/>
    </w:rPr>
  </w:style>
  <w:style w:type="character" w:customStyle="1" w:styleId="FunotentextZchn">
    <w:name w:val="Fußnotentext Zchn"/>
    <w:basedOn w:val="Absatz-Standardschriftart"/>
    <w:link w:val="Funotentext"/>
    <w:uiPriority w:val="99"/>
    <w:semiHidden/>
    <w:rsid w:val="00D36E9F"/>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D36E9F"/>
    <w:rPr>
      <w:vertAlign w:val="superscript"/>
    </w:rPr>
  </w:style>
  <w:style w:type="paragraph" w:styleId="StandardWeb">
    <w:name w:val="Normal (Web)"/>
    <w:basedOn w:val="Standard"/>
    <w:uiPriority w:val="99"/>
    <w:semiHidden/>
    <w:unhideWhenUsed/>
    <w:rsid w:val="00830E9A"/>
    <w:pPr>
      <w:spacing w:before="100" w:beforeAutospacing="1" w:after="100" w:afterAutospacing="1"/>
    </w:pPr>
    <w:rPr>
      <w:rFonts w:eastAsiaTheme="minorEastAsia"/>
    </w:rPr>
  </w:style>
  <w:style w:type="paragraph" w:styleId="Kopfzeile">
    <w:name w:val="header"/>
    <w:basedOn w:val="Standard"/>
    <w:link w:val="KopfzeileZchn"/>
    <w:uiPriority w:val="99"/>
    <w:unhideWhenUsed/>
    <w:rsid w:val="00697F9A"/>
    <w:pPr>
      <w:tabs>
        <w:tab w:val="center" w:pos="4536"/>
        <w:tab w:val="right" w:pos="9072"/>
      </w:tabs>
    </w:pPr>
  </w:style>
  <w:style w:type="character" w:customStyle="1" w:styleId="KopfzeileZchn">
    <w:name w:val="Kopfzeile Zchn"/>
    <w:basedOn w:val="Absatz-Standardschriftart"/>
    <w:link w:val="Kopfzeile"/>
    <w:uiPriority w:val="99"/>
    <w:rsid w:val="00697F9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697F9A"/>
    <w:pPr>
      <w:tabs>
        <w:tab w:val="center" w:pos="4536"/>
        <w:tab w:val="right" w:pos="9072"/>
      </w:tabs>
    </w:pPr>
  </w:style>
  <w:style w:type="character" w:customStyle="1" w:styleId="FuzeileZchn">
    <w:name w:val="Fußzeile Zchn"/>
    <w:basedOn w:val="Absatz-Standardschriftart"/>
    <w:link w:val="Fuzeile"/>
    <w:uiPriority w:val="99"/>
    <w:rsid w:val="00697F9A"/>
    <w:rPr>
      <w:rFonts w:ascii="Times New Roman" w:eastAsia="Times New Roman" w:hAnsi="Times New Roman" w:cs="Times New Roman"/>
      <w:sz w:val="24"/>
      <w:szCs w:val="24"/>
      <w:lang w:eastAsia="de-DE"/>
    </w:rPr>
  </w:style>
  <w:style w:type="character" w:customStyle="1" w:styleId="organization-name">
    <w:name w:val="organization-name"/>
    <w:basedOn w:val="Absatz-Standardschriftart"/>
    <w:rsid w:val="006F0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89731">
      <w:bodyDiv w:val="1"/>
      <w:marLeft w:val="0"/>
      <w:marRight w:val="0"/>
      <w:marTop w:val="0"/>
      <w:marBottom w:val="0"/>
      <w:divBdr>
        <w:top w:val="none" w:sz="0" w:space="0" w:color="auto"/>
        <w:left w:val="none" w:sz="0" w:space="0" w:color="auto"/>
        <w:bottom w:val="none" w:sz="0" w:space="0" w:color="auto"/>
        <w:right w:val="none" w:sz="0" w:space="0" w:color="auto"/>
      </w:divBdr>
      <w:divsChild>
        <w:div w:id="1841506106">
          <w:marLeft w:val="0"/>
          <w:marRight w:val="0"/>
          <w:marTop w:val="0"/>
          <w:marBottom w:val="0"/>
          <w:divBdr>
            <w:top w:val="none" w:sz="0" w:space="0" w:color="auto"/>
            <w:left w:val="none" w:sz="0" w:space="0" w:color="auto"/>
            <w:bottom w:val="none" w:sz="0" w:space="0" w:color="auto"/>
            <w:right w:val="none" w:sz="0" w:space="0" w:color="auto"/>
          </w:divBdr>
        </w:div>
        <w:div w:id="1697392733">
          <w:marLeft w:val="0"/>
          <w:marRight w:val="0"/>
          <w:marTop w:val="0"/>
          <w:marBottom w:val="0"/>
          <w:divBdr>
            <w:top w:val="none" w:sz="0" w:space="0" w:color="auto"/>
            <w:left w:val="none" w:sz="0" w:space="0" w:color="auto"/>
            <w:bottom w:val="none" w:sz="0" w:space="0" w:color="auto"/>
            <w:right w:val="none" w:sz="0" w:space="0" w:color="auto"/>
          </w:divBdr>
        </w:div>
        <w:div w:id="307785203">
          <w:marLeft w:val="0"/>
          <w:marRight w:val="0"/>
          <w:marTop w:val="0"/>
          <w:marBottom w:val="0"/>
          <w:divBdr>
            <w:top w:val="none" w:sz="0" w:space="0" w:color="auto"/>
            <w:left w:val="none" w:sz="0" w:space="0" w:color="auto"/>
            <w:bottom w:val="none" w:sz="0" w:space="0" w:color="auto"/>
            <w:right w:val="none" w:sz="0" w:space="0" w:color="auto"/>
          </w:divBdr>
        </w:div>
        <w:div w:id="648246633">
          <w:marLeft w:val="0"/>
          <w:marRight w:val="0"/>
          <w:marTop w:val="0"/>
          <w:marBottom w:val="0"/>
          <w:divBdr>
            <w:top w:val="none" w:sz="0" w:space="0" w:color="auto"/>
            <w:left w:val="none" w:sz="0" w:space="0" w:color="auto"/>
            <w:bottom w:val="none" w:sz="0" w:space="0" w:color="auto"/>
            <w:right w:val="none" w:sz="0" w:space="0" w:color="auto"/>
          </w:divBdr>
        </w:div>
        <w:div w:id="1492477336">
          <w:marLeft w:val="0"/>
          <w:marRight w:val="0"/>
          <w:marTop w:val="0"/>
          <w:marBottom w:val="0"/>
          <w:divBdr>
            <w:top w:val="none" w:sz="0" w:space="0" w:color="auto"/>
            <w:left w:val="none" w:sz="0" w:space="0" w:color="auto"/>
            <w:bottom w:val="none" w:sz="0" w:space="0" w:color="auto"/>
            <w:right w:val="none" w:sz="0" w:space="0" w:color="auto"/>
          </w:divBdr>
        </w:div>
      </w:divsChild>
    </w:div>
    <w:div w:id="1642492494">
      <w:bodyDiv w:val="1"/>
      <w:marLeft w:val="0"/>
      <w:marRight w:val="0"/>
      <w:marTop w:val="0"/>
      <w:marBottom w:val="0"/>
      <w:divBdr>
        <w:top w:val="none" w:sz="0" w:space="0" w:color="auto"/>
        <w:left w:val="none" w:sz="0" w:space="0" w:color="auto"/>
        <w:bottom w:val="none" w:sz="0" w:space="0" w:color="auto"/>
        <w:right w:val="none" w:sz="0" w:space="0" w:color="auto"/>
      </w:divBdr>
    </w:div>
    <w:div w:id="1899045514">
      <w:bodyDiv w:val="1"/>
      <w:marLeft w:val="0"/>
      <w:marRight w:val="0"/>
      <w:marTop w:val="0"/>
      <w:marBottom w:val="0"/>
      <w:divBdr>
        <w:top w:val="none" w:sz="0" w:space="0" w:color="auto"/>
        <w:left w:val="none" w:sz="0" w:space="0" w:color="auto"/>
        <w:bottom w:val="none" w:sz="0" w:space="0" w:color="auto"/>
        <w:right w:val="none" w:sz="0" w:space="0" w:color="auto"/>
      </w:divBdr>
      <w:divsChild>
        <w:div w:id="1341397195">
          <w:marLeft w:val="0"/>
          <w:marRight w:val="0"/>
          <w:marTop w:val="0"/>
          <w:marBottom w:val="0"/>
          <w:divBdr>
            <w:top w:val="none" w:sz="0" w:space="0" w:color="auto"/>
            <w:left w:val="none" w:sz="0" w:space="0" w:color="auto"/>
            <w:bottom w:val="none" w:sz="0" w:space="0" w:color="auto"/>
            <w:right w:val="none" w:sz="0" w:space="0" w:color="auto"/>
          </w:divBdr>
        </w:div>
        <w:div w:id="878322237">
          <w:marLeft w:val="0"/>
          <w:marRight w:val="0"/>
          <w:marTop w:val="0"/>
          <w:marBottom w:val="0"/>
          <w:divBdr>
            <w:top w:val="none" w:sz="0" w:space="0" w:color="auto"/>
            <w:left w:val="none" w:sz="0" w:space="0" w:color="auto"/>
            <w:bottom w:val="none" w:sz="0" w:space="0" w:color="auto"/>
            <w:right w:val="none" w:sz="0" w:space="0" w:color="auto"/>
          </w:divBdr>
        </w:div>
        <w:div w:id="225142998">
          <w:marLeft w:val="0"/>
          <w:marRight w:val="0"/>
          <w:marTop w:val="0"/>
          <w:marBottom w:val="0"/>
          <w:divBdr>
            <w:top w:val="none" w:sz="0" w:space="0" w:color="auto"/>
            <w:left w:val="none" w:sz="0" w:space="0" w:color="auto"/>
            <w:bottom w:val="none" w:sz="0" w:space="0" w:color="auto"/>
            <w:right w:val="none" w:sz="0" w:space="0" w:color="auto"/>
          </w:divBdr>
        </w:div>
        <w:div w:id="2028091445">
          <w:marLeft w:val="0"/>
          <w:marRight w:val="0"/>
          <w:marTop w:val="0"/>
          <w:marBottom w:val="0"/>
          <w:divBdr>
            <w:top w:val="none" w:sz="0" w:space="0" w:color="auto"/>
            <w:left w:val="none" w:sz="0" w:space="0" w:color="auto"/>
            <w:bottom w:val="none" w:sz="0" w:space="0" w:color="auto"/>
            <w:right w:val="none" w:sz="0" w:space="0" w:color="auto"/>
          </w:divBdr>
        </w:div>
        <w:div w:id="151461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stin.zimmermann@phili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ilips.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2CBD7-98C6-4D25-8329-2B2559BB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4476</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publica projects GmbH</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Zrenner</dc:creator>
  <cp:lastModifiedBy>Jennifer Rausch</cp:lastModifiedBy>
  <cp:revision>2</cp:revision>
  <dcterms:created xsi:type="dcterms:W3CDTF">2016-04-18T13:39:00Z</dcterms:created>
  <dcterms:modified xsi:type="dcterms:W3CDTF">2016-04-18T13:39:00Z</dcterms:modified>
</cp:coreProperties>
</file>